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5EE7" w14:textId="08C15263" w:rsidR="001A3A25" w:rsidRDefault="00FB60E7" w:rsidP="001A3A25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_GoBack"/>
      <w:r w:rsidRPr="00AA07CF"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B82523D" wp14:editId="40C44BBB">
            <wp:simplePos x="0" y="0"/>
            <wp:positionH relativeFrom="column">
              <wp:posOffset>1842480</wp:posOffset>
            </wp:positionH>
            <wp:positionV relativeFrom="paragraph">
              <wp:posOffset>0</wp:posOffset>
            </wp:positionV>
            <wp:extent cx="1714500" cy="1045808"/>
            <wp:effectExtent l="0" t="0" r="0" b="0"/>
            <wp:wrapThrough wrapText="bothSides">
              <wp:wrapPolygon edited="0">
                <wp:start x="0" y="0"/>
                <wp:lineTo x="0" y="21259"/>
                <wp:lineTo x="21440" y="21259"/>
                <wp:lineTo x="21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45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AEE284B" w14:textId="77777777" w:rsidR="001A3A25" w:rsidRDefault="001A3A25" w:rsidP="001A3A2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96CA491" w14:textId="696A2A22" w:rsidR="001A3A25" w:rsidRDefault="001A3A25" w:rsidP="00FB60E7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57F251A6" w14:textId="77777777" w:rsidR="001A3A25" w:rsidRDefault="001A3A25" w:rsidP="001A3A25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06333AA1" w14:textId="77777777" w:rsidR="001A3A25" w:rsidRDefault="001A3A25" w:rsidP="001A3A25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6F54C2B6" w14:textId="77777777" w:rsidR="001A3A25" w:rsidRDefault="001A3A25" w:rsidP="001A3A2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89561E7" w14:textId="46030D80" w:rsidR="001A3A25" w:rsidRDefault="001A3A25" w:rsidP="001A3A25">
      <w:pPr>
        <w:rPr>
          <w:rFonts w:ascii="Calibri" w:eastAsia="Times New Roman" w:hAnsi="Calibri" w:cs="Calibri"/>
          <w:b/>
          <w:color w:val="0070C0"/>
          <w:sz w:val="22"/>
          <w:szCs w:val="22"/>
        </w:rPr>
      </w:pPr>
    </w:p>
    <w:p w14:paraId="6D7C395F" w14:textId="10660D17" w:rsidR="001A3A25" w:rsidRPr="00EB74AE" w:rsidRDefault="001A3A25" w:rsidP="00EB74AE">
      <w:pPr>
        <w:rPr>
          <w:rFonts w:ascii="Calibri" w:eastAsia="Times New Roman" w:hAnsi="Calibri" w:cs="Calibri"/>
          <w:color w:val="000000"/>
        </w:rPr>
      </w:pPr>
    </w:p>
    <w:p w14:paraId="7E4003E3" w14:textId="3BC5812B" w:rsidR="0018730E" w:rsidRPr="00532774" w:rsidRDefault="001A3A25" w:rsidP="0018730E">
      <w:pPr>
        <w:numPr>
          <w:ilvl w:val="0"/>
          <w:numId w:val="1"/>
        </w:numPr>
        <w:rPr>
          <w:rFonts w:ascii="Calibri" w:eastAsia="Times New Roman" w:hAnsi="Calibri" w:cs="Calibri"/>
          <w:color w:val="0070C0"/>
        </w:rPr>
      </w:pPr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Investigating Enzymatic Methods for Preparation of Protein Conjugates</w:t>
      </w:r>
      <w:r w:rsidR="0018730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. </w:t>
      </w:r>
      <w:r w:rsidR="0018730E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Morgan </w:t>
      </w:r>
      <w:r w:rsidR="0018730E" w:rsidRPr="00532774">
        <w:rPr>
          <w:rFonts w:ascii="Calibri" w:eastAsia="Times New Roman" w:hAnsi="Calibri" w:cs="Calibri"/>
          <w:i/>
          <w:color w:val="0070C0"/>
          <w:sz w:val="22"/>
          <w:szCs w:val="22"/>
        </w:rPr>
        <w:t xml:space="preserve">et </w:t>
      </w:r>
      <w:r w:rsidR="0018730E" w:rsidRPr="00532774">
        <w:rPr>
          <w:rFonts w:ascii="Calibri" w:eastAsia="Times New Roman" w:hAnsi="Calibri" w:cs="Calibri"/>
          <w:i/>
          <w:color w:val="0070C0"/>
        </w:rPr>
        <w:t>al,</w:t>
      </w:r>
      <w:r w:rsidR="0018730E" w:rsidRPr="00532774">
        <w:rPr>
          <w:rFonts w:ascii="Calibri" w:eastAsia="Times New Roman" w:hAnsi="Calibri" w:cs="Calibri"/>
          <w:i/>
          <w:color w:val="0070C0"/>
          <w:sz w:val="22"/>
          <w:szCs w:val="22"/>
        </w:rPr>
        <w:t xml:space="preserve"> </w:t>
      </w:r>
      <w:r w:rsidR="0018730E" w:rsidRPr="00532774">
        <w:rPr>
          <w:rFonts w:ascii="Calibri" w:eastAsia="Times New Roman" w:hAnsi="Calibri" w:cs="Calibri"/>
          <w:color w:val="0070C0"/>
          <w:sz w:val="22"/>
          <w:szCs w:val="22"/>
        </w:rPr>
        <w:t>University of Leeds</w:t>
      </w:r>
    </w:p>
    <w:p w14:paraId="002C836A" w14:textId="77777777" w:rsidR="001A3A25" w:rsidRPr="000D792E" w:rsidRDefault="001A3A25" w:rsidP="00EC1623">
      <w:pPr>
        <w:rPr>
          <w:rFonts w:ascii="Calibri" w:eastAsia="Times New Roman" w:hAnsi="Calibri" w:cs="Calibri"/>
          <w:color w:val="1F4E79" w:themeColor="accent5" w:themeShade="80"/>
        </w:rPr>
      </w:pPr>
    </w:p>
    <w:p w14:paraId="2CE3BCF6" w14:textId="73E6AF92" w:rsidR="001A3A25" w:rsidRPr="00EB74AE" w:rsidRDefault="001A3A25" w:rsidP="001A3A25">
      <w:pPr>
        <w:numPr>
          <w:ilvl w:val="0"/>
          <w:numId w:val="1"/>
        </w:numPr>
        <w:rPr>
          <w:rFonts w:ascii="Calibri" w:eastAsia="Times New Roman" w:hAnsi="Calibri" w:cs="Calibri"/>
          <w:color w:val="1F4E79" w:themeColor="accent5" w:themeShade="80"/>
        </w:rPr>
      </w:pPr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Lung cancer survival prediction using PCA and RF feature selection on multi-omics data integration</w:t>
      </w:r>
      <w:r w:rsidR="0018730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. </w:t>
      </w:r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Moon </w:t>
      </w:r>
      <w:r w:rsidR="005426D6" w:rsidRPr="00532774">
        <w:rPr>
          <w:rFonts w:ascii="Calibri" w:eastAsia="Times New Roman" w:hAnsi="Calibri" w:cs="Calibri"/>
          <w:i/>
          <w:color w:val="0070C0"/>
          <w:sz w:val="22"/>
          <w:szCs w:val="22"/>
        </w:rPr>
        <w:t>et al,</w:t>
      </w:r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 </w:t>
      </w:r>
      <w:proofErr w:type="spellStart"/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>Teeside</w:t>
      </w:r>
      <w:proofErr w:type="spellEnd"/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 University</w:t>
      </w:r>
    </w:p>
    <w:p w14:paraId="03FBC5F7" w14:textId="77777777" w:rsidR="00EB74AE" w:rsidRDefault="00EB74AE" w:rsidP="00EB74AE">
      <w:pPr>
        <w:pStyle w:val="ListParagraph"/>
        <w:rPr>
          <w:rFonts w:ascii="Calibri" w:eastAsia="Times New Roman" w:hAnsi="Calibri" w:cs="Calibri"/>
          <w:color w:val="1F4E79" w:themeColor="accent5" w:themeShade="80"/>
        </w:rPr>
      </w:pPr>
    </w:p>
    <w:p w14:paraId="73EA70F1" w14:textId="19E14117" w:rsidR="00EB74AE" w:rsidRPr="00EB74AE" w:rsidRDefault="00EB74AE" w:rsidP="00EB74AE">
      <w:pPr>
        <w:numPr>
          <w:ilvl w:val="0"/>
          <w:numId w:val="1"/>
        </w:numPr>
        <w:rPr>
          <w:rFonts w:ascii="Calibri" w:eastAsia="Times New Roman" w:hAnsi="Calibri" w:cs="Calibri"/>
          <w:color w:val="1F4E79" w:themeColor="accent5" w:themeShade="80"/>
        </w:rPr>
      </w:pPr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Solution structures of </w:t>
      </w:r>
      <w:proofErr w:type="spellStart"/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deglycosylated</w:t>
      </w:r>
      <w:proofErr w:type="spellEnd"/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 human IgG1 reveal the role of CH2 glycans in its conformation</w:t>
      </w:r>
      <w:r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. </w:t>
      </w:r>
      <w:r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Spiteri </w:t>
      </w:r>
      <w:r w:rsidRPr="00532774">
        <w:rPr>
          <w:rFonts w:ascii="Calibri" w:eastAsia="Times New Roman" w:hAnsi="Calibri" w:cs="Calibri"/>
          <w:i/>
          <w:color w:val="0070C0"/>
          <w:sz w:val="22"/>
          <w:szCs w:val="22"/>
        </w:rPr>
        <w:t>et al,</w:t>
      </w:r>
      <w:r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 University College Londo</w:t>
      </w:r>
      <w:r>
        <w:rPr>
          <w:rFonts w:ascii="Calibri" w:eastAsia="Times New Roman" w:hAnsi="Calibri" w:cs="Calibri"/>
          <w:color w:val="0070C0"/>
          <w:sz w:val="22"/>
          <w:szCs w:val="22"/>
        </w:rPr>
        <w:t>n</w:t>
      </w:r>
    </w:p>
    <w:p w14:paraId="7292405C" w14:textId="77777777" w:rsidR="00EB74AE" w:rsidRDefault="00EB74AE" w:rsidP="00EB74AE">
      <w:pPr>
        <w:pStyle w:val="ListParagraph"/>
        <w:rPr>
          <w:rFonts w:ascii="Calibri" w:eastAsia="Times New Roman" w:hAnsi="Calibri" w:cs="Calibri"/>
          <w:color w:val="1F4E79" w:themeColor="accent5" w:themeShade="80"/>
        </w:rPr>
      </w:pPr>
    </w:p>
    <w:p w14:paraId="6FBBFF22" w14:textId="7BCBD919" w:rsidR="00EB74AE" w:rsidRPr="00EB74AE" w:rsidRDefault="00EB74AE" w:rsidP="00EB74AE">
      <w:pPr>
        <w:numPr>
          <w:ilvl w:val="0"/>
          <w:numId w:val="1"/>
        </w:numPr>
        <w:rPr>
          <w:rFonts w:ascii="Calibri" w:eastAsia="Times New Roman" w:hAnsi="Calibri" w:cs="Calibri"/>
          <w:color w:val="1F4E79" w:themeColor="accent5" w:themeShade="80"/>
        </w:rPr>
      </w:pPr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Downregulation by organic nitrogen of AOX1 promoter used for controlled expression of foreign genes in the yeast Pichia pastoris</w:t>
      </w:r>
      <w:r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 </w:t>
      </w:r>
      <w:proofErr w:type="spellStart"/>
      <w:r w:rsidRPr="00532774">
        <w:rPr>
          <w:rFonts w:ascii="Calibri" w:eastAsia="Times New Roman" w:hAnsi="Calibri" w:cs="Calibri"/>
          <w:color w:val="0070C0"/>
          <w:sz w:val="22"/>
          <w:szCs w:val="22"/>
        </w:rPr>
        <w:t>Velastegui</w:t>
      </w:r>
      <w:proofErr w:type="spellEnd"/>
      <w:r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 </w:t>
      </w:r>
      <w:r w:rsidRPr="00532774">
        <w:rPr>
          <w:rFonts w:ascii="Calibri" w:eastAsia="Times New Roman" w:hAnsi="Calibri" w:cs="Calibri"/>
          <w:i/>
          <w:color w:val="0070C0"/>
          <w:sz w:val="22"/>
          <w:szCs w:val="22"/>
        </w:rPr>
        <w:t>et al,</w:t>
      </w:r>
      <w:r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 University of Liege</w:t>
      </w:r>
    </w:p>
    <w:p w14:paraId="0242EEE1" w14:textId="77777777" w:rsidR="00EB74AE" w:rsidRDefault="00EB74AE" w:rsidP="00EB74AE">
      <w:pPr>
        <w:pStyle w:val="ListParagraph"/>
        <w:rPr>
          <w:rFonts w:ascii="Calibri" w:eastAsia="Times New Roman" w:hAnsi="Calibri" w:cs="Calibri"/>
          <w:color w:val="1F4E79" w:themeColor="accent5" w:themeShade="80"/>
        </w:rPr>
      </w:pPr>
    </w:p>
    <w:p w14:paraId="5CD2DD64" w14:textId="3C81B305" w:rsidR="00EB74AE" w:rsidRPr="00EB74AE" w:rsidRDefault="00EB74AE" w:rsidP="00EB74AE">
      <w:pPr>
        <w:numPr>
          <w:ilvl w:val="0"/>
          <w:numId w:val="1"/>
        </w:numPr>
        <w:rPr>
          <w:rFonts w:ascii="Calibri" w:eastAsia="Times New Roman" w:hAnsi="Calibri" w:cs="Calibri"/>
          <w:color w:val="1F4E79" w:themeColor="accent5" w:themeShade="80"/>
        </w:rPr>
      </w:pPr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Cellular responses to therapeutic protein secretion and secretion system overloading in E. coli</w:t>
      </w:r>
      <w:r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. </w:t>
      </w:r>
      <w:proofErr w:type="spellStart"/>
      <w:r w:rsidRPr="00532774">
        <w:rPr>
          <w:rFonts w:ascii="Calibri" w:eastAsia="Times New Roman" w:hAnsi="Calibri" w:cs="Calibri"/>
          <w:color w:val="0070C0"/>
          <w:sz w:val="22"/>
          <w:szCs w:val="22"/>
        </w:rPr>
        <w:t>Selerio</w:t>
      </w:r>
      <w:proofErr w:type="spellEnd"/>
      <w:r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 </w:t>
      </w:r>
      <w:r w:rsidRPr="00532774">
        <w:rPr>
          <w:rFonts w:ascii="Calibri" w:eastAsia="Times New Roman" w:hAnsi="Calibri" w:cs="Calibri"/>
          <w:i/>
          <w:color w:val="0070C0"/>
          <w:sz w:val="22"/>
          <w:szCs w:val="22"/>
        </w:rPr>
        <w:t>et al,</w:t>
      </w:r>
      <w:r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 University of Sheffield/FDB</w:t>
      </w:r>
    </w:p>
    <w:p w14:paraId="56BD94E4" w14:textId="77777777" w:rsidR="00EB74AE" w:rsidRPr="001A3A25" w:rsidRDefault="00EB74AE" w:rsidP="00EB74AE">
      <w:pPr>
        <w:rPr>
          <w:rFonts w:ascii="Calibri" w:eastAsia="Times New Roman" w:hAnsi="Calibri" w:cs="Calibri"/>
          <w:color w:val="1F4E79" w:themeColor="accent5" w:themeShade="80"/>
        </w:rPr>
      </w:pPr>
    </w:p>
    <w:p w14:paraId="75D217A1" w14:textId="77777777" w:rsidR="00EB74AE" w:rsidRPr="007E06D0" w:rsidRDefault="00EB74AE" w:rsidP="00EB74A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C03A9E">
        <w:rPr>
          <w:rFonts w:ascii="Calibri" w:hAnsi="Calibri" w:cs="Calibri"/>
          <w:color w:val="1F4E79" w:themeColor="accent5" w:themeShade="80"/>
          <w:sz w:val="22"/>
          <w:szCs w:val="22"/>
        </w:rPr>
        <w:t xml:space="preserve">Implementing PAT for single-pass tangential flow ultrafiltration for continuous manufacturing of monoclonal antibodies using Near Infrared Spectroscopy (NIRS). </w:t>
      </w:r>
      <w:r w:rsidRPr="00C03A9E">
        <w:rPr>
          <w:rFonts w:ascii="Calibri" w:hAnsi="Calibri" w:cs="Calibri"/>
          <w:color w:val="0070C0"/>
          <w:sz w:val="22"/>
          <w:szCs w:val="22"/>
        </w:rPr>
        <w:t xml:space="preserve">Thakur </w:t>
      </w:r>
      <w:r w:rsidRPr="00C03A9E">
        <w:rPr>
          <w:rFonts w:ascii="Calibri" w:hAnsi="Calibri" w:cs="Calibri"/>
          <w:i/>
          <w:color w:val="0070C0"/>
          <w:sz w:val="22"/>
          <w:szCs w:val="22"/>
        </w:rPr>
        <w:t>et al</w:t>
      </w:r>
      <w:r w:rsidRPr="00C03A9E">
        <w:rPr>
          <w:rFonts w:ascii="Calibri" w:hAnsi="Calibri" w:cs="Calibri"/>
          <w:color w:val="0070C0"/>
          <w:sz w:val="22"/>
          <w:szCs w:val="22"/>
        </w:rPr>
        <w:t>,</w:t>
      </w:r>
      <w:r w:rsidRPr="00C03A9E">
        <w:rPr>
          <w:rFonts w:ascii="Calibri" w:hAnsi="Calibri" w:cs="Calibri"/>
          <w:color w:val="000000"/>
        </w:rPr>
        <w:t xml:space="preserve"> </w:t>
      </w:r>
      <w:r w:rsidRPr="00C03A9E">
        <w:rPr>
          <w:rFonts w:ascii="Calibri" w:eastAsia="Times New Roman" w:hAnsi="Calibri" w:cs="Calibri"/>
          <w:color w:val="0070C0"/>
          <w:sz w:val="22"/>
          <w:szCs w:val="22"/>
        </w:rPr>
        <w:t>Indian Institute of Technology- Delhi, India</w:t>
      </w:r>
      <w:r>
        <w:rPr>
          <w:rFonts w:ascii="Calibri" w:eastAsia="Times New Roman" w:hAnsi="Calibri" w:cs="Calibri"/>
          <w:color w:val="0070C0"/>
          <w:sz w:val="22"/>
          <w:szCs w:val="22"/>
        </w:rPr>
        <w:t xml:space="preserve"> </w:t>
      </w:r>
    </w:p>
    <w:p w14:paraId="56547CC1" w14:textId="77777777" w:rsidR="00EB74AE" w:rsidRPr="001A3A25" w:rsidRDefault="00EB74AE" w:rsidP="00EB74AE">
      <w:pPr>
        <w:ind w:left="720"/>
        <w:rPr>
          <w:rFonts w:ascii="Calibri" w:eastAsia="Times New Roman" w:hAnsi="Calibri" w:cs="Calibri"/>
          <w:color w:val="1F4E79" w:themeColor="accent5" w:themeShade="80"/>
        </w:rPr>
      </w:pPr>
    </w:p>
    <w:p w14:paraId="720F6F0B" w14:textId="77777777" w:rsidR="00EB74AE" w:rsidRPr="00CA4D3A" w:rsidRDefault="00EB74AE" w:rsidP="00EB74A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A4D3A">
        <w:rPr>
          <w:rFonts w:ascii="Calibri" w:hAnsi="Calibri" w:cs="Calibri"/>
          <w:color w:val="1F4E79" w:themeColor="accent5" w:themeShade="80"/>
          <w:sz w:val="22"/>
          <w:szCs w:val="22"/>
        </w:rPr>
        <w:t>Using the RUSH System to Investigate the Kinetics of the Mammalian Secretory Pathway.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CA4D3A">
        <w:rPr>
          <w:rFonts w:ascii="Calibri" w:eastAsia="Times New Roman" w:hAnsi="Calibri" w:cs="Calibri"/>
          <w:color w:val="0070C0"/>
          <w:sz w:val="22"/>
          <w:szCs w:val="22"/>
        </w:rPr>
        <w:t>Downes</w:t>
      </w:r>
      <w:proofErr w:type="spellEnd"/>
      <w:r w:rsidRPr="00CA4D3A">
        <w:rPr>
          <w:rFonts w:ascii="Calibri" w:eastAsia="Times New Roman" w:hAnsi="Calibri" w:cs="Calibri"/>
          <w:color w:val="0070C0"/>
          <w:sz w:val="22"/>
          <w:szCs w:val="22"/>
        </w:rPr>
        <w:t xml:space="preserve"> </w:t>
      </w:r>
      <w:r w:rsidRPr="00CA4D3A">
        <w:rPr>
          <w:rFonts w:ascii="Calibri" w:eastAsia="Times New Roman" w:hAnsi="Calibri" w:cs="Calibri"/>
          <w:i/>
          <w:color w:val="0070C0"/>
          <w:sz w:val="22"/>
          <w:szCs w:val="22"/>
        </w:rPr>
        <w:t>et al</w:t>
      </w:r>
      <w:r w:rsidRPr="00CA4D3A">
        <w:rPr>
          <w:rFonts w:ascii="Calibri" w:eastAsia="Times New Roman" w:hAnsi="Calibri" w:cs="Calibri"/>
          <w:color w:val="0070C0"/>
          <w:sz w:val="22"/>
          <w:szCs w:val="22"/>
        </w:rPr>
        <w:t>, University of Manchester</w:t>
      </w:r>
    </w:p>
    <w:p w14:paraId="2FCB67CE" w14:textId="77777777" w:rsidR="001A3A25" w:rsidRPr="000D792E" w:rsidRDefault="001A3A25" w:rsidP="00EB74AE">
      <w:pPr>
        <w:rPr>
          <w:rFonts w:ascii="Calibri" w:eastAsia="Times New Roman" w:hAnsi="Calibri" w:cs="Calibri"/>
          <w:color w:val="1F4E79" w:themeColor="accent5" w:themeShade="80"/>
        </w:rPr>
      </w:pPr>
    </w:p>
    <w:p w14:paraId="1E8C360E" w14:textId="4325A707" w:rsidR="001A3A25" w:rsidRPr="00EB74AE" w:rsidRDefault="001A3A25" w:rsidP="001A3A25">
      <w:pPr>
        <w:numPr>
          <w:ilvl w:val="0"/>
          <w:numId w:val="1"/>
        </w:numPr>
        <w:rPr>
          <w:rFonts w:ascii="Calibri" w:eastAsia="Times New Roman" w:hAnsi="Calibri" w:cs="Calibri"/>
          <w:color w:val="0070C0"/>
        </w:rPr>
      </w:pPr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Structural dynamics and stability of botulinum neurotoxins</w:t>
      </w:r>
      <w:r w:rsidR="005426D6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. </w:t>
      </w:r>
      <w:proofErr w:type="spellStart"/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>Bottemly</w:t>
      </w:r>
      <w:proofErr w:type="spellEnd"/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 </w:t>
      </w:r>
      <w:r w:rsidR="005426D6" w:rsidRPr="00532774">
        <w:rPr>
          <w:rFonts w:ascii="Calibri" w:eastAsia="Times New Roman" w:hAnsi="Calibri" w:cs="Calibri"/>
          <w:i/>
          <w:color w:val="0070C0"/>
          <w:sz w:val="22"/>
          <w:szCs w:val="22"/>
        </w:rPr>
        <w:t>et al,</w:t>
      </w:r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 University of Exeter/ Ipsen</w:t>
      </w:r>
    </w:p>
    <w:p w14:paraId="362EB0DF" w14:textId="77777777" w:rsidR="00EB74AE" w:rsidRPr="00EB74AE" w:rsidRDefault="00EB74AE" w:rsidP="00EB74AE">
      <w:pPr>
        <w:rPr>
          <w:rFonts w:ascii="Calibri" w:eastAsia="Times New Roman" w:hAnsi="Calibri" w:cs="Calibri"/>
          <w:color w:val="000000"/>
        </w:rPr>
      </w:pPr>
    </w:p>
    <w:p w14:paraId="191E0EAA" w14:textId="65AA6D45" w:rsidR="001A3A25" w:rsidRPr="00EB74AE" w:rsidRDefault="00EB74AE" w:rsidP="00EB74AE">
      <w:pPr>
        <w:pStyle w:val="ListParagraph"/>
        <w:numPr>
          <w:ilvl w:val="0"/>
          <w:numId w:val="1"/>
        </w:numPr>
        <w:rPr>
          <w:rFonts w:ascii="Calibri" w:hAnsi="Calibri" w:cs="Calibri"/>
          <w:color w:val="0070C0"/>
          <w:sz w:val="22"/>
          <w:szCs w:val="22"/>
        </w:rPr>
      </w:pPr>
      <w:r w:rsidRPr="007E06D0">
        <w:rPr>
          <w:rFonts w:ascii="Calibri" w:hAnsi="Calibri" w:cs="Calibri"/>
          <w:color w:val="1F4E79" w:themeColor="accent5" w:themeShade="80"/>
          <w:sz w:val="22"/>
          <w:szCs w:val="22"/>
        </w:rPr>
        <w:t xml:space="preserve">AAV infectivity assay using flow cytometry. </w:t>
      </w:r>
      <w:r w:rsidRPr="007E06D0">
        <w:rPr>
          <w:rFonts w:ascii="Calibri" w:hAnsi="Calibri" w:cs="Calibri"/>
          <w:color w:val="0070C0"/>
          <w:sz w:val="22"/>
          <w:szCs w:val="22"/>
        </w:rPr>
        <w:t xml:space="preserve">T </w:t>
      </w:r>
      <w:proofErr w:type="spellStart"/>
      <w:r w:rsidRPr="007E06D0">
        <w:rPr>
          <w:rFonts w:ascii="Calibri" w:hAnsi="Calibri" w:cs="Calibri"/>
          <w:color w:val="0070C0"/>
          <w:sz w:val="22"/>
          <w:szCs w:val="22"/>
        </w:rPr>
        <w:t>Witkos</w:t>
      </w:r>
      <w:proofErr w:type="spellEnd"/>
      <w:r w:rsidRPr="007E06D0">
        <w:rPr>
          <w:rFonts w:ascii="Calibri" w:hAnsi="Calibri" w:cs="Calibri"/>
          <w:color w:val="0070C0"/>
          <w:sz w:val="22"/>
          <w:szCs w:val="22"/>
        </w:rPr>
        <w:t xml:space="preserve"> et al,</w:t>
      </w:r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7E06D0">
        <w:rPr>
          <w:rFonts w:ascii="Calibri" w:hAnsi="Calibri" w:cs="Calibri"/>
          <w:color w:val="0070C0"/>
          <w:sz w:val="22"/>
          <w:szCs w:val="22"/>
        </w:rPr>
        <w:t>AstraZeneca, Cambridge, UK and Gaithersburg, USA</w:t>
      </w:r>
    </w:p>
    <w:p w14:paraId="005FC624" w14:textId="77777777" w:rsidR="001A3A25" w:rsidRPr="000D792E" w:rsidRDefault="001A3A25" w:rsidP="002D3176">
      <w:pPr>
        <w:ind w:left="720"/>
        <w:rPr>
          <w:rFonts w:ascii="Calibri" w:eastAsia="Times New Roman" w:hAnsi="Calibri" w:cs="Calibri"/>
          <w:color w:val="1F4E79" w:themeColor="accent5" w:themeShade="80"/>
        </w:rPr>
      </w:pPr>
    </w:p>
    <w:p w14:paraId="716C7BBB" w14:textId="2841D4A2" w:rsidR="00EB74AE" w:rsidRPr="00EB74AE" w:rsidRDefault="001A3A25" w:rsidP="00EB74AE">
      <w:pPr>
        <w:numPr>
          <w:ilvl w:val="0"/>
          <w:numId w:val="1"/>
        </w:numPr>
        <w:rPr>
          <w:rFonts w:ascii="Calibri" w:eastAsia="Times New Roman" w:hAnsi="Calibri" w:cs="Calibri"/>
          <w:color w:val="0070C0"/>
        </w:rPr>
      </w:pPr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Quality by design and techno-economic modelling of RNA vaccine production</w:t>
      </w:r>
      <w:r w:rsidR="005426D6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. </w:t>
      </w:r>
      <w:proofErr w:type="spellStart"/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>Kis</w:t>
      </w:r>
      <w:proofErr w:type="spellEnd"/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 </w:t>
      </w:r>
      <w:r w:rsidR="005426D6" w:rsidRPr="00532774">
        <w:rPr>
          <w:rFonts w:ascii="Calibri" w:eastAsia="Times New Roman" w:hAnsi="Calibri" w:cs="Calibri"/>
          <w:i/>
          <w:color w:val="0070C0"/>
          <w:sz w:val="22"/>
          <w:szCs w:val="22"/>
        </w:rPr>
        <w:t>et al,</w:t>
      </w:r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 Imperial College London</w:t>
      </w:r>
    </w:p>
    <w:p w14:paraId="69D3A5D9" w14:textId="77777777" w:rsidR="00EB74AE" w:rsidRDefault="00EB74AE" w:rsidP="00EB74AE">
      <w:pPr>
        <w:pStyle w:val="ListParagraph"/>
        <w:rPr>
          <w:rFonts w:ascii="Calibri" w:eastAsia="Times New Roman" w:hAnsi="Calibri" w:cs="Calibri"/>
          <w:color w:val="0070C0"/>
        </w:rPr>
      </w:pPr>
    </w:p>
    <w:p w14:paraId="778E6BD7" w14:textId="77777777" w:rsidR="00EB74AE" w:rsidRPr="001A3A25" w:rsidRDefault="00EB74AE" w:rsidP="00EB74AE">
      <w:pPr>
        <w:numPr>
          <w:ilvl w:val="0"/>
          <w:numId w:val="1"/>
        </w:numPr>
        <w:rPr>
          <w:rFonts w:ascii="Calibri" w:eastAsia="Times New Roman" w:hAnsi="Calibri" w:cs="Calibri"/>
          <w:color w:val="1F4E79" w:themeColor="accent5" w:themeShade="80"/>
        </w:rPr>
      </w:pPr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High yielding plant</w:t>
      </w:r>
      <w:r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-</w:t>
      </w:r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based production of biologics</w:t>
      </w:r>
      <w:r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. </w:t>
      </w:r>
      <w:r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Fowler </w:t>
      </w:r>
      <w:r w:rsidRPr="00532774">
        <w:rPr>
          <w:rFonts w:ascii="Calibri" w:eastAsia="Times New Roman" w:hAnsi="Calibri" w:cs="Calibri"/>
          <w:i/>
          <w:color w:val="0070C0"/>
          <w:sz w:val="22"/>
          <w:szCs w:val="22"/>
        </w:rPr>
        <w:t xml:space="preserve">et al, </w:t>
      </w:r>
      <w:r w:rsidRPr="00532774">
        <w:rPr>
          <w:rFonts w:ascii="Calibri" w:eastAsia="Times New Roman" w:hAnsi="Calibri" w:cs="Calibri"/>
          <w:color w:val="0070C0"/>
          <w:sz w:val="22"/>
          <w:szCs w:val="22"/>
        </w:rPr>
        <w:t>Leaf Expression Systems Ltd</w:t>
      </w:r>
    </w:p>
    <w:p w14:paraId="34FD387A" w14:textId="77777777" w:rsidR="00EB74AE" w:rsidRPr="00EB74AE" w:rsidRDefault="00EB74AE" w:rsidP="00EB74AE">
      <w:pPr>
        <w:ind w:left="720"/>
        <w:rPr>
          <w:rFonts w:ascii="Calibri" w:eastAsia="Times New Roman" w:hAnsi="Calibri" w:cs="Calibri"/>
          <w:color w:val="0070C0"/>
        </w:rPr>
      </w:pPr>
    </w:p>
    <w:p w14:paraId="1C47B519" w14:textId="2FBBC608" w:rsidR="00EB74AE" w:rsidRPr="00EB74AE" w:rsidRDefault="001A3A25" w:rsidP="00EB74AE">
      <w:pPr>
        <w:numPr>
          <w:ilvl w:val="0"/>
          <w:numId w:val="1"/>
        </w:numPr>
        <w:rPr>
          <w:rFonts w:ascii="Calibri" w:eastAsia="Times New Roman" w:hAnsi="Calibri" w:cs="Calibri"/>
          <w:color w:val="0070C0"/>
        </w:rPr>
      </w:pPr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Developing novel biosensors for monitoring antibody production in CHO cells</w:t>
      </w:r>
      <w:r w:rsidR="005426D6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. </w:t>
      </w:r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Willmott </w:t>
      </w:r>
      <w:r w:rsidR="005426D6" w:rsidRPr="00532774">
        <w:rPr>
          <w:rFonts w:ascii="Calibri" w:eastAsia="Times New Roman" w:hAnsi="Calibri" w:cs="Calibri"/>
          <w:i/>
          <w:color w:val="0070C0"/>
          <w:sz w:val="22"/>
          <w:szCs w:val="22"/>
        </w:rPr>
        <w:t xml:space="preserve">et al, </w:t>
      </w:r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>University of Sheffield/ GSK</w:t>
      </w:r>
    </w:p>
    <w:p w14:paraId="5A557A75" w14:textId="77777777" w:rsidR="00EB74AE" w:rsidRPr="00532774" w:rsidRDefault="00EB74AE" w:rsidP="00EB74AE">
      <w:pPr>
        <w:rPr>
          <w:rFonts w:ascii="Calibri" w:eastAsia="Times New Roman" w:hAnsi="Calibri" w:cs="Calibri"/>
          <w:color w:val="0070C0"/>
        </w:rPr>
      </w:pPr>
    </w:p>
    <w:p w14:paraId="298996E7" w14:textId="77777777" w:rsidR="00EB74AE" w:rsidRPr="00722C5A" w:rsidRDefault="00EB74AE" w:rsidP="00EB74A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70C0"/>
          <w:sz w:val="22"/>
          <w:szCs w:val="22"/>
        </w:rPr>
      </w:pPr>
      <w:r w:rsidRPr="00722C5A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A novel strategy for developing cost-effective biosimilar in the microbial system. </w:t>
      </w:r>
      <w:r w:rsidRPr="00722C5A">
        <w:rPr>
          <w:rFonts w:ascii="Calibri" w:eastAsia="Times New Roman" w:hAnsi="Calibri" w:cs="Calibri"/>
          <w:color w:val="0070C0"/>
          <w:sz w:val="22"/>
          <w:szCs w:val="22"/>
        </w:rPr>
        <w:t xml:space="preserve">Priyanka </w:t>
      </w:r>
      <w:r w:rsidRPr="00722C5A">
        <w:rPr>
          <w:rFonts w:ascii="Calibri" w:eastAsia="Times New Roman" w:hAnsi="Calibri" w:cs="Calibri"/>
          <w:i/>
          <w:color w:val="0070C0"/>
          <w:sz w:val="22"/>
          <w:szCs w:val="22"/>
        </w:rPr>
        <w:t>et al,</w:t>
      </w:r>
      <w:r w:rsidRPr="00722C5A">
        <w:rPr>
          <w:rFonts w:ascii="Calibri" w:eastAsia="Times New Roman" w:hAnsi="Calibri" w:cs="Calibri"/>
          <w:color w:val="0070C0"/>
          <w:sz w:val="22"/>
          <w:szCs w:val="22"/>
        </w:rPr>
        <w:t xml:space="preserve"> Indian Institute of Technology- Delhi, India</w:t>
      </w:r>
    </w:p>
    <w:p w14:paraId="1E6EF828" w14:textId="77777777" w:rsidR="00EB74AE" w:rsidRPr="00722C5A" w:rsidRDefault="00EB74AE" w:rsidP="00EB74AE">
      <w:pPr>
        <w:rPr>
          <w:rFonts w:ascii="Calibri" w:eastAsia="Times New Roman" w:hAnsi="Calibri" w:cs="Calibri"/>
          <w:color w:val="000000"/>
        </w:rPr>
      </w:pPr>
    </w:p>
    <w:p w14:paraId="2232E103" w14:textId="77777777" w:rsidR="00EB74AE" w:rsidRPr="006313F9" w:rsidRDefault="00EB74AE" w:rsidP="00EB74A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722C5A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Application of analytical platform for </w:t>
      </w:r>
      <w:proofErr w:type="spellStart"/>
      <w:r w:rsidRPr="00722C5A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mAb</w:t>
      </w:r>
      <w:proofErr w:type="spellEnd"/>
      <w:r w:rsidRPr="00722C5A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 </w:t>
      </w:r>
      <w:proofErr w:type="spellStart"/>
      <w:r w:rsidRPr="00722C5A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biosimilarity</w:t>
      </w:r>
      <w:proofErr w:type="spellEnd"/>
      <w:r w:rsidRPr="00722C5A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 assessment: Trastuzumab and Rituximab as a case study.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722C5A">
        <w:rPr>
          <w:rFonts w:ascii="Calibri" w:eastAsia="Times New Roman" w:hAnsi="Calibri" w:cs="Calibri"/>
          <w:color w:val="0070C0"/>
          <w:sz w:val="22"/>
          <w:szCs w:val="22"/>
        </w:rPr>
        <w:t xml:space="preserve">Joshi </w:t>
      </w:r>
      <w:r w:rsidRPr="00722C5A">
        <w:rPr>
          <w:rFonts w:ascii="Calibri" w:eastAsia="Times New Roman" w:hAnsi="Calibri" w:cs="Calibri"/>
          <w:i/>
          <w:color w:val="0070C0"/>
          <w:sz w:val="22"/>
          <w:szCs w:val="22"/>
        </w:rPr>
        <w:t>et al,</w:t>
      </w:r>
      <w:r w:rsidRPr="00722C5A">
        <w:rPr>
          <w:rFonts w:ascii="Calibri" w:eastAsia="Times New Roman" w:hAnsi="Calibri" w:cs="Calibri"/>
          <w:color w:val="0070C0"/>
          <w:sz w:val="22"/>
          <w:szCs w:val="22"/>
        </w:rPr>
        <w:t xml:space="preserve"> Indian Institute of Technology- Delhi, India</w:t>
      </w:r>
    </w:p>
    <w:p w14:paraId="62493B08" w14:textId="77777777" w:rsidR="001A3A25" w:rsidRPr="000D792E" w:rsidRDefault="001A3A25" w:rsidP="002D3176">
      <w:pPr>
        <w:ind w:left="720"/>
        <w:rPr>
          <w:rFonts w:ascii="Calibri" w:eastAsia="Times New Roman" w:hAnsi="Calibri" w:cs="Calibri"/>
          <w:color w:val="1F4E79" w:themeColor="accent5" w:themeShade="80"/>
        </w:rPr>
      </w:pPr>
    </w:p>
    <w:p w14:paraId="15CEDC88" w14:textId="482AFE85" w:rsidR="001A3A25" w:rsidRPr="00722C5A" w:rsidRDefault="001A3A25" w:rsidP="001A3A25">
      <w:pPr>
        <w:numPr>
          <w:ilvl w:val="0"/>
          <w:numId w:val="1"/>
        </w:numPr>
        <w:rPr>
          <w:rFonts w:ascii="Calibri" w:eastAsia="Times New Roman" w:hAnsi="Calibri" w:cs="Calibri"/>
          <w:color w:val="1F4E79" w:themeColor="accent5" w:themeShade="80"/>
        </w:rPr>
      </w:pPr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Bioproducts of Microalgae</w:t>
      </w:r>
      <w:r w:rsidR="005426D6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. </w:t>
      </w:r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>Velasquez-</w:t>
      </w:r>
      <w:proofErr w:type="spellStart"/>
      <w:r w:rsidR="00F24CC3">
        <w:rPr>
          <w:rFonts w:ascii="Calibri" w:eastAsia="Times New Roman" w:hAnsi="Calibri" w:cs="Calibri"/>
          <w:color w:val="0070C0"/>
          <w:sz w:val="22"/>
          <w:szCs w:val="22"/>
        </w:rPr>
        <w:t>O</w:t>
      </w:r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>rta</w:t>
      </w:r>
      <w:proofErr w:type="spellEnd"/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 </w:t>
      </w:r>
      <w:r w:rsidR="005426D6" w:rsidRPr="00532774">
        <w:rPr>
          <w:rFonts w:ascii="Calibri" w:eastAsia="Times New Roman" w:hAnsi="Calibri" w:cs="Calibri"/>
          <w:i/>
          <w:color w:val="0070C0"/>
          <w:sz w:val="22"/>
          <w:szCs w:val="22"/>
        </w:rPr>
        <w:t>et al,</w:t>
      </w:r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 N</w:t>
      </w:r>
      <w:r w:rsidR="00532774" w:rsidRPr="00532774">
        <w:rPr>
          <w:rFonts w:ascii="Calibri" w:eastAsia="Times New Roman" w:hAnsi="Calibri" w:cs="Calibri"/>
          <w:color w:val="0070C0"/>
          <w:sz w:val="22"/>
          <w:szCs w:val="22"/>
        </w:rPr>
        <w:t>ewcastle University</w:t>
      </w:r>
    </w:p>
    <w:p w14:paraId="065F01CE" w14:textId="51A8F3B4" w:rsidR="001A3A25" w:rsidRDefault="001A3A25"/>
    <w:sectPr w:rsidR="001A3A25" w:rsidSect="00F40BC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84E35"/>
    <w:multiLevelType w:val="multilevel"/>
    <w:tmpl w:val="0360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25"/>
    <w:rsid w:val="0018730E"/>
    <w:rsid w:val="001A3A25"/>
    <w:rsid w:val="002D3176"/>
    <w:rsid w:val="00367A43"/>
    <w:rsid w:val="00451222"/>
    <w:rsid w:val="00532774"/>
    <w:rsid w:val="005426D6"/>
    <w:rsid w:val="006313F9"/>
    <w:rsid w:val="00666072"/>
    <w:rsid w:val="00694993"/>
    <w:rsid w:val="006A2059"/>
    <w:rsid w:val="00722C5A"/>
    <w:rsid w:val="0074229D"/>
    <w:rsid w:val="007E06D0"/>
    <w:rsid w:val="0081143A"/>
    <w:rsid w:val="009F3137"/>
    <w:rsid w:val="00CA4D3A"/>
    <w:rsid w:val="00EB74AE"/>
    <w:rsid w:val="00EC1623"/>
    <w:rsid w:val="00F24CC3"/>
    <w:rsid w:val="00F40BCE"/>
    <w:rsid w:val="00FB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FEF6"/>
  <w15:chartTrackingRefBased/>
  <w15:docId w15:val="{C010E524-E6FC-874E-B4DA-0FF2FAAC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A2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18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2020-10-14T10:41:00Z</dcterms:created>
  <dcterms:modified xsi:type="dcterms:W3CDTF">2020-11-17T11:46:00Z</dcterms:modified>
</cp:coreProperties>
</file>